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5462A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ПОДОВИННОГО</w:t>
      </w:r>
      <w:r w:rsidR="009A60C3">
        <w:rPr>
          <w:b/>
          <w:sz w:val="28"/>
          <w:szCs w:val="28"/>
        </w:rPr>
        <w:t xml:space="preserve">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3B6530" w:rsidRPr="00AB64E2" w:rsidRDefault="00E6053F" w:rsidP="00AB64E2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B64E2" w:rsidRDefault="003B6530" w:rsidP="00AB64E2">
      <w:pPr>
        <w:rPr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574415">
        <w:rPr>
          <w:noProof/>
          <w:sz w:val="28"/>
          <w:szCs w:val="28"/>
        </w:rPr>
        <w:t>28</w:t>
      </w:r>
      <w:r>
        <w:rPr>
          <w:noProof/>
          <w:sz w:val="28"/>
          <w:szCs w:val="28"/>
        </w:rPr>
        <w:t>.</w:t>
      </w:r>
      <w:r w:rsidR="008415A6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574415">
        <w:rPr>
          <w:sz w:val="28"/>
          <w:szCs w:val="28"/>
        </w:rPr>
        <w:t>23</w:t>
      </w:r>
      <w:r w:rsidR="00E6053F" w:rsidRPr="00180B9B">
        <w:rPr>
          <w:sz w:val="28"/>
          <w:szCs w:val="28"/>
        </w:rPr>
        <w:t xml:space="preserve"> </w:t>
      </w:r>
    </w:p>
    <w:p w:rsidR="009A60C3" w:rsidRPr="00AB64E2" w:rsidRDefault="00E6053F" w:rsidP="00AB64E2">
      <w:r>
        <w:tab/>
      </w:r>
      <w:r w:rsidR="004B095F">
        <w:t xml:space="preserve">                                                                            </w:t>
      </w:r>
      <w:r w:rsidRPr="004B095F">
        <w:rPr>
          <w:sz w:val="28"/>
          <w:szCs w:val="28"/>
        </w:rPr>
        <w:tab/>
      </w:r>
      <w:r>
        <w:tab/>
      </w:r>
    </w:p>
    <w:p w:rsidR="009A60C3" w:rsidRDefault="004B095F" w:rsidP="001D2B36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r w:rsidR="005462AF">
        <w:rPr>
          <w:sz w:val="28"/>
          <w:szCs w:val="28"/>
        </w:rPr>
        <w:t>Подовинного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1D2B36" w:rsidRDefault="001D2B36" w:rsidP="001D2B36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="008E71CA">
        <w:rPr>
          <w:sz w:val="28"/>
          <w:szCs w:val="28"/>
        </w:rPr>
        <w:t>22</w:t>
      </w:r>
      <w:r w:rsidRPr="005462A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8E71CA">
        <w:rPr>
          <w:sz w:val="28"/>
          <w:szCs w:val="28"/>
        </w:rPr>
        <w:t xml:space="preserve">                 2020 года № 288</w:t>
      </w:r>
      <w:r>
        <w:rPr>
          <w:sz w:val="28"/>
          <w:szCs w:val="28"/>
        </w:rPr>
        <w:t xml:space="preserve"> 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5462AF">
        <w:rPr>
          <w:sz w:val="28"/>
          <w:szCs w:val="28"/>
        </w:rPr>
        <w:t>Совет депутатов Подовинного</w:t>
      </w:r>
      <w:r w:rsidR="00E83E7E">
        <w:rPr>
          <w:sz w:val="28"/>
          <w:szCs w:val="28"/>
        </w:rPr>
        <w:t xml:space="preserve"> сельского поселения</w:t>
      </w:r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9A60C3" w:rsidRDefault="004B095F" w:rsidP="001D2B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5462AF">
        <w:rPr>
          <w:sz w:val="28"/>
          <w:szCs w:val="28"/>
        </w:rPr>
        <w:t xml:space="preserve"> Подовинного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9A60C3" w:rsidRDefault="004B095F" w:rsidP="001D2B36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A14011" w:rsidRDefault="004B095F" w:rsidP="001D2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62AF">
        <w:rPr>
          <w:sz w:val="28"/>
          <w:szCs w:val="28"/>
        </w:rPr>
        <w:t>Настоящее решение подлежит</w:t>
      </w:r>
      <w:r w:rsidR="00AB64E2">
        <w:rPr>
          <w:sz w:val="28"/>
          <w:szCs w:val="28"/>
        </w:rPr>
        <w:t xml:space="preserve"> обнародованию на информационных стендах и </w:t>
      </w:r>
      <w:r w:rsidRPr="00E83E7E">
        <w:rPr>
          <w:color w:val="FF0000"/>
          <w:sz w:val="28"/>
          <w:szCs w:val="28"/>
        </w:rPr>
        <w:t xml:space="preserve"> </w:t>
      </w:r>
      <w:r w:rsidR="005462AF"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 xml:space="preserve"> 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5462AF">
        <w:rPr>
          <w:sz w:val="28"/>
          <w:szCs w:val="28"/>
        </w:rPr>
        <w:t>Подовинного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1D2B36" w:rsidRDefault="001D2B36" w:rsidP="001D2B36">
      <w:pPr>
        <w:ind w:firstLine="708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62AF">
        <w:rPr>
          <w:sz w:val="28"/>
          <w:szCs w:val="28"/>
        </w:rPr>
        <w:t>Подовинного</w:t>
      </w:r>
      <w:r w:rsidR="009A60C3">
        <w:rPr>
          <w:sz w:val="28"/>
          <w:szCs w:val="28"/>
        </w:rPr>
        <w:t xml:space="preserve"> </w:t>
      </w:r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 </w:t>
      </w:r>
      <w:r w:rsidR="00790614">
        <w:rPr>
          <w:sz w:val="28"/>
          <w:szCs w:val="28"/>
        </w:rPr>
        <w:t>Шмидт Н.С.</w:t>
      </w: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5462AF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9B4721">
        <w:rPr>
          <w:sz w:val="28"/>
          <w:szCs w:val="28"/>
        </w:rPr>
        <w:t xml:space="preserve"> сельского поселения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574415">
        <w:rPr>
          <w:sz w:val="28"/>
          <w:szCs w:val="28"/>
        </w:rPr>
        <w:t>28</w:t>
      </w:r>
      <w:r w:rsidR="007321CB">
        <w:rPr>
          <w:sz w:val="28"/>
          <w:szCs w:val="28"/>
        </w:rPr>
        <w:t>.12.</w:t>
      </w:r>
      <w:r w:rsidRPr="00595F8D">
        <w:rPr>
          <w:sz w:val="28"/>
          <w:szCs w:val="28"/>
        </w:rPr>
        <w:t>202</w:t>
      </w:r>
      <w:r w:rsidR="007321CB">
        <w:rPr>
          <w:sz w:val="28"/>
          <w:szCs w:val="28"/>
        </w:rPr>
        <w:t>0</w:t>
      </w:r>
      <w:r w:rsidR="00574415">
        <w:rPr>
          <w:sz w:val="28"/>
          <w:szCs w:val="28"/>
        </w:rPr>
        <w:t xml:space="preserve"> г. № 23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финансовой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5462AF">
        <w:rPr>
          <w:rFonts w:ascii="Times New Roman" w:hAnsi="Times New Roman" w:cs="Times New Roman"/>
          <w:b w:val="0"/>
          <w:sz w:val="28"/>
          <w:szCs w:val="28"/>
        </w:rPr>
        <w:t xml:space="preserve"> Подовинного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5462AF">
        <w:rPr>
          <w:rFonts w:ascii="Times New Roman" w:hAnsi="Times New Roman" w:cs="Times New Roman"/>
          <w:sz w:val="28"/>
          <w:szCs w:val="28"/>
        </w:rPr>
        <w:t>Подовинного</w:t>
      </w:r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="009B4721"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lastRenderedPageBreak/>
        <w:t>1) в границах территорий территориального общественного самоуправления;</w:t>
      </w:r>
    </w:p>
    <w:p w:rsidR="003016B8" w:rsidRPr="00CE43D2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62AF">
        <w:rPr>
          <w:rFonts w:ascii="Times New Roman" w:hAnsi="Times New Roman" w:cs="Times New Roman"/>
          <w:sz w:val="28"/>
          <w:szCs w:val="28"/>
        </w:rPr>
        <w:t>2)</w:t>
      </w:r>
      <w:r w:rsidRPr="00CE43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62AF">
        <w:rPr>
          <w:rFonts w:ascii="Times New Roman" w:hAnsi="Times New Roman" w:cs="Times New Roman"/>
          <w:sz w:val="28"/>
          <w:szCs w:val="28"/>
        </w:rPr>
        <w:t>многоквартирного жилого дома;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3016B8" w:rsidRDefault="003016B8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4) квартала;</w:t>
      </w:r>
    </w:p>
    <w:p w:rsidR="00CC38BF" w:rsidRPr="008415A6" w:rsidRDefault="00CE43D2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462AF">
        <w:rPr>
          <w:rFonts w:ascii="Times New Roman" w:hAnsi="Times New Roman" w:cs="Times New Roman"/>
          <w:sz w:val="28"/>
          <w:szCs w:val="28"/>
        </w:rPr>
        <w:t>Подовинного</w:t>
      </w:r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 xml:space="preserve">проекта (представителем   инициатора), содержащее обязательства по обеспечению инициативных платежей и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на которой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172">
        <w:rPr>
          <w:color w:val="FF0000"/>
          <w:sz w:val="28"/>
          <w:szCs w:val="28"/>
        </w:rPr>
        <w:t xml:space="preserve"> </w:t>
      </w:r>
      <w:r w:rsidRPr="005462AF">
        <w:rPr>
          <w:sz w:val="28"/>
          <w:szCs w:val="28"/>
        </w:rPr>
        <w:t>многоквартирного жилого дома</w:t>
      </w:r>
      <w:r w:rsidRPr="00143238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3016B8" w:rsidRPr="00A03172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квартала;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планируется реализовывать инициативный проект подписывается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5462AF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5462AF">
        <w:t>457173,</w:t>
      </w:r>
      <w:r w:rsidR="008A6B00">
        <w:t xml:space="preserve"> Челябинская область, Октябрьский район, с. </w:t>
      </w:r>
      <w:r w:rsidR="005462AF">
        <w:t>Подовинное</w:t>
      </w:r>
      <w:r w:rsidR="008A6B00">
        <w:t xml:space="preserve">, ул. </w:t>
      </w:r>
      <w:r w:rsidR="005462AF" w:rsidRPr="005462AF">
        <w:t>Гагарина, д.14</w:t>
      </w:r>
      <w:r w:rsidRPr="005462AF"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r w:rsidRPr="00C27FA4">
        <w:t>данных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E4" w:rsidRDefault="007061E4" w:rsidP="004B095F">
      <w:r>
        <w:separator/>
      </w:r>
    </w:p>
  </w:endnote>
  <w:endnote w:type="continuationSeparator" w:id="1">
    <w:p w:rsidR="007061E4" w:rsidRDefault="007061E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E4" w:rsidRDefault="007061E4" w:rsidP="004B095F">
      <w:r>
        <w:separator/>
      </w:r>
    </w:p>
  </w:footnote>
  <w:footnote w:type="continuationSeparator" w:id="1">
    <w:p w:rsidR="007061E4" w:rsidRDefault="007061E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0909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D2B3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7658"/>
    <w:rsid w:val="00395871"/>
    <w:rsid w:val="003B6530"/>
    <w:rsid w:val="003C3B1B"/>
    <w:rsid w:val="003E10A0"/>
    <w:rsid w:val="0043142F"/>
    <w:rsid w:val="00431FAC"/>
    <w:rsid w:val="00452853"/>
    <w:rsid w:val="004552F9"/>
    <w:rsid w:val="00475800"/>
    <w:rsid w:val="004B00C9"/>
    <w:rsid w:val="004B095F"/>
    <w:rsid w:val="004B3BBF"/>
    <w:rsid w:val="004D67BE"/>
    <w:rsid w:val="00512FA2"/>
    <w:rsid w:val="005462AF"/>
    <w:rsid w:val="00561C47"/>
    <w:rsid w:val="005643B3"/>
    <w:rsid w:val="00574415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1681"/>
    <w:rsid w:val="006F7315"/>
    <w:rsid w:val="00700368"/>
    <w:rsid w:val="007061E4"/>
    <w:rsid w:val="007321CB"/>
    <w:rsid w:val="00790614"/>
    <w:rsid w:val="007923FA"/>
    <w:rsid w:val="00795DD8"/>
    <w:rsid w:val="007A3EB5"/>
    <w:rsid w:val="007C03C3"/>
    <w:rsid w:val="008106D0"/>
    <w:rsid w:val="0082788F"/>
    <w:rsid w:val="008415A6"/>
    <w:rsid w:val="00846C42"/>
    <w:rsid w:val="0088000B"/>
    <w:rsid w:val="00885E17"/>
    <w:rsid w:val="008A6B00"/>
    <w:rsid w:val="008C6A3A"/>
    <w:rsid w:val="008D2A05"/>
    <w:rsid w:val="008E4648"/>
    <w:rsid w:val="008E71CA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73389"/>
    <w:rsid w:val="00AB64E2"/>
    <w:rsid w:val="00AC0D6E"/>
    <w:rsid w:val="00AC6804"/>
    <w:rsid w:val="00AF5F65"/>
    <w:rsid w:val="00AF70E8"/>
    <w:rsid w:val="00B04057"/>
    <w:rsid w:val="00B05486"/>
    <w:rsid w:val="00B07553"/>
    <w:rsid w:val="00B76AF9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A3E73"/>
    <w:rsid w:val="00CB3216"/>
    <w:rsid w:val="00CC38BF"/>
    <w:rsid w:val="00CE43D2"/>
    <w:rsid w:val="00D349CD"/>
    <w:rsid w:val="00D43593"/>
    <w:rsid w:val="00D86861"/>
    <w:rsid w:val="00D86BC1"/>
    <w:rsid w:val="00D9034C"/>
    <w:rsid w:val="00DB5D58"/>
    <w:rsid w:val="00DE1895"/>
    <w:rsid w:val="00DF010E"/>
    <w:rsid w:val="00E02709"/>
    <w:rsid w:val="00E06803"/>
    <w:rsid w:val="00E6053F"/>
    <w:rsid w:val="00E624B1"/>
    <w:rsid w:val="00E74F33"/>
    <w:rsid w:val="00E83E7E"/>
    <w:rsid w:val="00E92BFE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56</cp:revision>
  <cp:lastPrinted>2020-12-24T05:39:00Z</cp:lastPrinted>
  <dcterms:created xsi:type="dcterms:W3CDTF">2019-10-03T03:07:00Z</dcterms:created>
  <dcterms:modified xsi:type="dcterms:W3CDTF">2020-12-27T16:49:00Z</dcterms:modified>
</cp:coreProperties>
</file>